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GOODS</w:t>
      </w:r>
    </w:p>
    <w:p>
      <w:pPr>
        <w:tabs>
          <w:tab w:val="left" w:pos="2835"/>
        </w:tabs>
        <w:spacing w:before="240" w:after="240"/>
        <w:ind w:left="2835" w:hanging="2835"/>
        <w:rPr>
          <w:rFonts w:hint="default"/>
          <w:lang w:val="en-US" w:eastAsia="ko-KR"/>
        </w:rPr>
      </w:pPr>
      <w:r>
        <w:rPr>
          <w:rFonts w:hint="default"/>
          <w:b/>
          <w:lang w:val="en-US"/>
        </w:rPr>
        <w:tab/>
      </w:r>
      <w:r>
        <w:rPr>
          <w:b/>
          <w:lang w:val="en-GB"/>
        </w:rPr>
        <w:t>Procurement No:</w:t>
      </w:r>
      <w:r>
        <w:rPr>
          <w:lang w:val="en-GB"/>
        </w:rPr>
        <w:tab/>
      </w:r>
      <w:r>
        <w:rPr>
          <w:rStyle w:val="32"/>
          <w:rFonts w:hint="default" w:asciiTheme="minorHAnsi" w:hAnsiTheme="minorHAnsi" w:cstheme="minorHAnsi"/>
          <w:lang w:val="en-US"/>
        </w:rPr>
        <w:t>22-G004-2</w:t>
      </w:r>
    </w:p>
    <w:p>
      <w:pPr>
        <w:pStyle w:val="74"/>
        <w:tabs>
          <w:tab w:val="left" w:pos="2835"/>
        </w:tabs>
        <w:spacing w:before="240" w:after="240" w:line="240" w:lineRule="auto"/>
        <w:ind w:left="2835" w:hanging="2835"/>
        <w:rPr>
          <w:rFonts w:cs="Calibri"/>
          <w:sz w:val="24"/>
          <w:lang w:val="en-GB" w:eastAsia="ko-KR"/>
        </w:rPr>
      </w:pPr>
    </w:p>
    <w:p>
      <w:pPr>
        <w:tabs>
          <w:tab w:val="left" w:pos="2835"/>
        </w:tabs>
        <w:spacing w:before="240" w:after="240"/>
        <w:ind w:left="2835" w:hanging="2835"/>
        <w:rPr>
          <w:rFonts w:ascii="Calibri" w:hAnsi="Calibri" w:cs="Calibri"/>
          <w:highlight w:val="yellow"/>
        </w:rPr>
      </w:pPr>
      <w:r>
        <w:rPr>
          <w:rFonts w:ascii="Calibri" w:hAnsi="Calibri" w:cs="Calibri"/>
          <w:highlight w:val="yellow"/>
        </w:rPr>
        <w:br w:type="page"/>
      </w:r>
    </w:p>
    <w:p>
      <w:pPr>
        <w:pStyle w:val="3"/>
      </w:pPr>
      <w:bookmarkStart w:id="0" w:name="_Toc419729571"/>
      <w:bookmarkStart w:id="1" w:name="_Toc11156577"/>
      <w:r>
        <w:t>Specification</w:t>
      </w:r>
      <w:bookmarkEnd w:id="0"/>
    </w:p>
    <w:p>
      <w:pPr>
        <w:pStyle w:val="4"/>
        <w:rPr>
          <w:u w:val="single"/>
        </w:rPr>
      </w:pPr>
      <w:bookmarkStart w:id="2" w:name="_Toc419729572"/>
      <w:bookmarkStart w:id="3" w:name="_Toc293504682"/>
      <w:bookmarkStart w:id="4" w:name="_Toc292659306"/>
      <w:r>
        <w:rPr>
          <w:u w:val="single"/>
        </w:rPr>
        <w:t>Background</w:t>
      </w:r>
      <w:bookmarkEnd w:id="2"/>
      <w:bookmarkEnd w:id="3"/>
    </w:p>
    <w:p>
      <w:pPr>
        <w:rPr>
          <w:rFonts w:asciiTheme="minorHAnsi" w:hAnsiTheme="minorHAnsi" w:cstheme="minorHAnsi"/>
          <w:color w:val="00B0F0"/>
        </w:rPr>
      </w:pPr>
      <w:r>
        <w:rPr>
          <w:rFonts w:asciiTheme="minorHAnsi" w:hAnsiTheme="minorHAnsi" w:cstheme="minorHAnsi"/>
          <w:szCs w:val="20"/>
        </w:rPr>
        <w:t xml:space="preserve">The WHO/UNICEF Joint Monitoring Programme shows that just 40 percent of the population of Kiribati has access to improved sanitation, with 34 percent practicing open defecation. Open defecation is practiced by nearly half of the rural population and by more than 70 per cent in the Outer Islands. </w:t>
      </w:r>
      <w:r>
        <w:rPr>
          <w:rFonts w:asciiTheme="minorHAnsi" w:hAnsiTheme="minorHAnsi" w:cstheme="minorHAnsi"/>
        </w:rPr>
        <w:t>Groundwater is highly vulnerable to contamination,</w:t>
      </w:r>
      <w:r>
        <w:rPr>
          <w:rFonts w:asciiTheme="minorHAnsi" w:hAnsiTheme="minorHAnsi" w:cstheme="minorHAnsi"/>
          <w:szCs w:val="20"/>
        </w:rPr>
        <w:t xml:space="preserve"> yet it is the most common source of drinking water. </w:t>
      </w:r>
      <w:r>
        <w:rPr>
          <w:rFonts w:asciiTheme="minorHAnsi" w:hAnsiTheme="minorHAnsi" w:cstheme="minorHAnsi"/>
        </w:rPr>
        <w:t>Kiribati has the second highest under 5 and maternal mortality rates in the Pacific after PNG; a high level of stunting and frequent outbreaks of diarrhoea caused by poor water, sanitation, and hygiene practices.</w:t>
      </w:r>
      <w:r>
        <w:rPr>
          <w:rFonts w:asciiTheme="minorHAnsi" w:hAnsiTheme="minorHAnsi" w:cstheme="minorHAnsi"/>
          <w:vertAlign w:val="superscript"/>
        </w:rPr>
        <w:t xml:space="preserve"> </w:t>
      </w:r>
      <w:r>
        <w:rPr>
          <w:rFonts w:asciiTheme="minorHAnsi" w:hAnsiTheme="minorHAnsi" w:cstheme="minorHAnsi"/>
        </w:rPr>
        <w:t xml:space="preserve">These challenges are further exacerbated by climate change and the geographical isolation of Kiribati. </w:t>
      </w:r>
      <w:r>
        <w:rPr>
          <w:rFonts w:asciiTheme="minorHAnsi" w:hAnsiTheme="minorHAnsi" w:cstheme="minorHAnsi"/>
          <w:szCs w:val="20"/>
          <w:lang w:bidi="ar-DZ"/>
        </w:rPr>
        <w:t>WASH in healthcare facilities (HCFs) is critical for maternal and new-born health. Improved WASH service delivery and practices in healthcare facilities create an environment for a healthy start for children.</w:t>
      </w:r>
      <w:r>
        <w:rPr>
          <w:rFonts w:asciiTheme="minorHAnsi" w:hAnsiTheme="minorHAnsi" w:cstheme="minorHAnsi"/>
          <w:caps/>
          <w:lang w:bidi="ar-DZ"/>
        </w:rPr>
        <w:t xml:space="preserve"> </w:t>
      </w:r>
      <w:r>
        <w:rPr>
          <w:rFonts w:asciiTheme="minorHAnsi" w:hAnsiTheme="minorHAnsi" w:cstheme="minorHAnsi"/>
          <w:lang w:bidi="ar-DZ"/>
        </w:rPr>
        <w:t>Although HCFs and staff are well established throughout Kiribati, few have been found with functional WASH facilities.</w:t>
      </w:r>
      <w:r>
        <w:rPr>
          <w:rFonts w:asciiTheme="minorHAnsi" w:hAnsiTheme="minorHAnsi" w:cstheme="minorHAnsi"/>
          <w:sz w:val="12"/>
          <w:szCs w:val="12"/>
        </w:rPr>
        <w:t xml:space="preserve">  </w:t>
      </w:r>
    </w:p>
    <w:p>
      <w:pPr>
        <w:rPr>
          <w:rFonts w:asciiTheme="minorHAnsi" w:hAnsiTheme="minorHAnsi" w:cstheme="minorHAnsi"/>
        </w:rPr>
      </w:pPr>
      <w:r>
        <w:rPr>
          <w:rFonts w:asciiTheme="minorHAnsi" w:hAnsiTheme="minorHAnsi" w:cstheme="minorHAnsi"/>
        </w:rPr>
        <w:t xml:space="preserve">The ‘WASH from the Start’ project focuses on community- and facility-based Water, Sanitation and Hygiene (WASH) interventions targeting children from conception to adolescence, and beyond as they go on to be the next generation of parents. The project brings three ministries (MISE, MoE and MHMS) to work together to achieve the project Objectives.  One of the project activities is to conduct WASH facility assessment in Schools and healthcare facilities and assess suitability of sanitation technology. </w:t>
      </w:r>
    </w:p>
    <w:p>
      <w:pPr>
        <w:rPr>
          <w:rFonts w:asciiTheme="minorHAnsi" w:hAnsiTheme="minorHAnsi" w:cstheme="minorHAnsi"/>
        </w:rPr>
      </w:pPr>
      <w:r>
        <w:rPr>
          <w:rFonts w:asciiTheme="minorHAnsi" w:hAnsiTheme="minorHAnsi" w:cstheme="minorHAnsi"/>
        </w:rPr>
        <w:t xml:space="preserve">The MHMS conducted the WASH facility assessment for Marakei Island in December,2020 covering 5 healthcare facilities. From the assessment report it shows that there is a need to rehabilitate and upgrade all WASH facilities on Marakei. </w:t>
      </w:r>
    </w:p>
    <w:p>
      <w:pPr>
        <w:rPr>
          <w:rFonts w:ascii="Georgia" w:hAnsi="Georgia"/>
        </w:rPr>
      </w:pPr>
    </w:p>
    <w:p>
      <w:pPr>
        <w:rPr>
          <w:rFonts w:asciiTheme="minorHAnsi" w:hAnsiTheme="minorHAnsi" w:cstheme="minorHAnsi"/>
          <w:b/>
          <w:bCs/>
          <w:u w:val="single"/>
        </w:rPr>
      </w:pPr>
      <w:r>
        <w:rPr>
          <w:rFonts w:asciiTheme="minorHAnsi" w:hAnsiTheme="minorHAnsi" w:cstheme="minorHAnsi"/>
          <w:b/>
          <w:bCs/>
          <w:u w:val="single"/>
        </w:rPr>
        <w:t>Scope of Work</w:t>
      </w:r>
    </w:p>
    <w:p>
      <w:pPr>
        <w:rPr>
          <w:rFonts w:asciiTheme="minorHAnsi" w:hAnsiTheme="minorHAnsi" w:cstheme="minorHAnsi"/>
        </w:rPr>
      </w:pPr>
      <w:bookmarkStart w:id="5" w:name="_Hlk63775982"/>
      <w:r>
        <w:rPr>
          <w:rFonts w:asciiTheme="minorHAnsi" w:hAnsiTheme="minorHAnsi" w:cstheme="minorHAnsi"/>
        </w:rPr>
        <w:t xml:space="preserve">This RFQ is for the supply and shipment of materials required for rehabilitation and maintenance work for 5 healthcare facilities on Rawannawi, Raweai, Tekarakan, Bwainuea and Terawarawa clinics. </w:t>
      </w:r>
    </w:p>
    <w:bookmarkEnd w:id="5"/>
    <w:p>
      <w:pPr>
        <w:pStyle w:val="4"/>
        <w:rPr>
          <w:rFonts w:cs="Calibri"/>
          <w:lang w:val="en-GB"/>
        </w:rPr>
      </w:pPr>
      <w:bookmarkStart w:id="6" w:name="_Toc312171709"/>
      <w:r>
        <w:rPr>
          <w:rFonts w:cs="Calibri"/>
          <w:lang w:val="en-GB"/>
        </w:rPr>
        <w:t>Requirements</w:t>
      </w:r>
    </w:p>
    <w:p>
      <w:pPr>
        <w:rPr>
          <w:rFonts w:ascii="Calibri" w:hAnsi="Calibri" w:cs="Calibri"/>
          <w:lang w:val="en-GB"/>
        </w:rPr>
      </w:pPr>
      <w:bookmarkStart w:id="7" w:name="_Toc308102003"/>
      <w:r>
        <w:rPr>
          <w:rFonts w:ascii="Calibri" w:hAnsi="Calibri" w:cs="Calibri"/>
          <w:lang w:val="en-GB"/>
        </w:rPr>
        <w:t>Tenderers are required to provide certified copies and attach to your tender submission the following documents:</w:t>
      </w:r>
    </w:p>
    <w:p>
      <w:pPr>
        <w:pStyle w:val="81"/>
        <w:numPr>
          <w:ilvl w:val="0"/>
          <w:numId w:val="3"/>
        </w:numPr>
        <w:ind w:left="643" w:leftChars="0"/>
        <w:rPr>
          <w:rFonts w:cs="Calibri"/>
          <w:sz w:val="24"/>
          <w:szCs w:val="24"/>
          <w:lang w:val="en-GB"/>
        </w:rPr>
      </w:pPr>
      <w:commentRangeStart w:id="0"/>
      <w:r>
        <w:rPr>
          <w:rFonts w:cs="Calibri"/>
          <w:sz w:val="24"/>
          <w:szCs w:val="24"/>
          <w:lang w:val="en-GB"/>
        </w:rPr>
        <w:t>Tax clearance letter from Tax Office</w:t>
      </w:r>
    </w:p>
    <w:p>
      <w:pPr>
        <w:pStyle w:val="81"/>
        <w:numPr>
          <w:ilvl w:val="0"/>
          <w:numId w:val="3"/>
        </w:numPr>
        <w:ind w:left="643" w:leftChars="0"/>
        <w:rPr>
          <w:rFonts w:cs="Calibri"/>
          <w:sz w:val="24"/>
          <w:szCs w:val="24"/>
          <w:lang w:val="en-GB"/>
        </w:rPr>
      </w:pPr>
      <w:r>
        <w:rPr>
          <w:rFonts w:cs="Calibri"/>
          <w:sz w:val="24"/>
          <w:szCs w:val="24"/>
          <w:lang w:val="en-GB"/>
        </w:rPr>
        <w:t xml:space="preserve">Suppliers latest Bank Statement. </w:t>
      </w:r>
    </w:p>
    <w:p>
      <w:pPr>
        <w:pStyle w:val="81"/>
        <w:numPr>
          <w:ilvl w:val="0"/>
          <w:numId w:val="3"/>
        </w:numPr>
        <w:ind w:left="643" w:leftChars="0"/>
        <w:rPr>
          <w:rFonts w:cs="Calibri"/>
          <w:sz w:val="24"/>
          <w:szCs w:val="24"/>
          <w:lang w:val="en-GB"/>
        </w:rPr>
      </w:pPr>
      <w:r>
        <w:rPr>
          <w:rFonts w:cs="Calibri"/>
          <w:sz w:val="24"/>
          <w:szCs w:val="24"/>
          <w:lang w:val="en-GB"/>
        </w:rPr>
        <w:t>Business Registration</w:t>
      </w:r>
    </w:p>
    <w:p>
      <w:pPr>
        <w:pStyle w:val="81"/>
        <w:numPr>
          <w:ilvl w:val="0"/>
          <w:numId w:val="3"/>
        </w:numPr>
        <w:ind w:left="643" w:leftChars="0"/>
        <w:rPr>
          <w:rFonts w:cs="Calibri"/>
          <w:sz w:val="24"/>
          <w:szCs w:val="24"/>
          <w:lang w:val="en-GB"/>
        </w:rPr>
      </w:pPr>
      <w:r>
        <w:rPr>
          <w:rFonts w:cs="Calibri"/>
          <w:sz w:val="24"/>
          <w:szCs w:val="24"/>
          <w:lang w:val="en-GB"/>
        </w:rPr>
        <w:t xml:space="preserve">Valid Business licence </w:t>
      </w:r>
    </w:p>
    <w:p>
      <w:pPr>
        <w:pStyle w:val="81"/>
        <w:numPr>
          <w:ilvl w:val="0"/>
          <w:numId w:val="3"/>
        </w:numPr>
        <w:ind w:left="643" w:leftChars="0"/>
        <w:rPr>
          <w:rFonts w:cs="Calibri"/>
          <w:sz w:val="24"/>
          <w:szCs w:val="24"/>
          <w:lang w:val="en-GB"/>
        </w:rPr>
      </w:pPr>
      <w:r>
        <w:rPr>
          <w:rFonts w:cs="Calibri"/>
          <w:sz w:val="24"/>
          <w:szCs w:val="24"/>
          <w:lang w:val="en-GB"/>
        </w:rPr>
        <w:t>Signed copy of the certificate of Compliance Form</w:t>
      </w:r>
    </w:p>
    <w:p>
      <w:pPr>
        <w:pStyle w:val="81"/>
        <w:numPr>
          <w:ilvl w:val="0"/>
          <w:numId w:val="3"/>
        </w:numPr>
        <w:ind w:left="643" w:leftChars="0"/>
        <w:rPr>
          <w:rFonts w:cs="Calibri"/>
          <w:sz w:val="24"/>
          <w:szCs w:val="24"/>
          <w:lang w:val="en-GB"/>
        </w:rPr>
      </w:pPr>
      <w:r>
        <w:rPr>
          <w:rFonts w:cs="Calibri"/>
          <w:sz w:val="24"/>
          <w:szCs w:val="24"/>
          <w:lang w:val="en-GB"/>
        </w:rPr>
        <w:t>Complete quotation</w:t>
      </w:r>
    </w:p>
    <w:p>
      <w:pPr>
        <w:pStyle w:val="81"/>
        <w:numPr>
          <w:ilvl w:val="0"/>
          <w:numId w:val="3"/>
        </w:numPr>
        <w:ind w:left="643" w:leftChars="0"/>
        <w:rPr>
          <w:rFonts w:cs="Calibri"/>
          <w:sz w:val="24"/>
          <w:szCs w:val="24"/>
          <w:lang w:val="en-GB"/>
        </w:rPr>
      </w:pPr>
      <w:r>
        <w:rPr>
          <w:rFonts w:cs="Calibri"/>
          <w:sz w:val="24"/>
          <w:szCs w:val="24"/>
          <w:lang w:val="en-GB"/>
        </w:rPr>
        <w:t>References indication of competence with similar supply of goods</w:t>
      </w:r>
      <w:commentRangeEnd w:id="0"/>
      <w:r>
        <w:commentReference w:id="0"/>
      </w:r>
    </w:p>
    <w:p>
      <w:pPr>
        <w:rPr>
          <w:lang w:val="en-GB"/>
        </w:rPr>
      </w:pPr>
    </w:p>
    <w:p>
      <w:pPr>
        <w:rPr>
          <w:rFonts w:asciiTheme="minorHAnsi" w:hAnsiTheme="minorHAnsi"/>
          <w:lang w:val="en-GB"/>
        </w:rPr>
      </w:pPr>
      <w:r>
        <w:rPr>
          <w:rFonts w:asciiTheme="minorHAnsi" w:hAnsiTheme="minorHAnsi"/>
          <w:lang w:val="en-GB"/>
        </w:rPr>
        <w:t xml:space="preserve">All supporting documentation must be in English. </w:t>
      </w:r>
    </w:p>
    <w:p>
      <w:pPr>
        <w:rPr>
          <w:rFonts w:asciiTheme="minorHAnsi" w:hAnsiTheme="minorHAnsi"/>
          <w:lang w:val="en-GB"/>
        </w:rPr>
      </w:pPr>
      <w:r>
        <w:rPr>
          <w:rFonts w:asciiTheme="minorHAnsi" w:hAnsiTheme="minorHAnsi"/>
          <w:lang w:val="en-GB"/>
        </w:rPr>
        <w:t>Quotation of materials should be in AUD.</w:t>
      </w:r>
    </w:p>
    <w:bookmarkEnd w:id="7"/>
    <w:p>
      <w:pPr>
        <w:pStyle w:val="4"/>
        <w:rPr>
          <w:rFonts w:cs="Calibri" w:asciiTheme="minorHAnsi" w:hAnsiTheme="minorHAnsi"/>
          <w:sz w:val="24"/>
          <w:lang w:val="en-GB"/>
        </w:rPr>
      </w:pPr>
      <w:bookmarkStart w:id="8" w:name="_Toc419729577"/>
      <w:r>
        <w:rPr>
          <w:rFonts w:cs="Calibri" w:asciiTheme="minorHAnsi" w:hAnsiTheme="minorHAnsi"/>
          <w:sz w:val="24"/>
          <w:lang w:val="en-GB"/>
        </w:rPr>
        <w:t>Installation services</w:t>
      </w:r>
      <w:bookmarkEnd w:id="8"/>
      <w:bookmarkStart w:id="10" w:name="_GoBack"/>
      <w:bookmarkEnd w:id="10"/>
    </w:p>
    <w:p>
      <w:pPr>
        <w:rPr>
          <w:rFonts w:asciiTheme="minorHAnsi" w:hAnsiTheme="minorHAnsi"/>
          <w:lang w:val="en-GB"/>
        </w:rPr>
      </w:pPr>
      <w:r>
        <w:rPr>
          <w:rFonts w:asciiTheme="minorHAnsi" w:hAnsiTheme="minorHAnsi"/>
          <w:lang w:val="en-GB"/>
        </w:rPr>
        <w:t xml:space="preserve">Nil. </w:t>
      </w:r>
    </w:p>
    <w:p>
      <w:pPr>
        <w:pStyle w:val="4"/>
        <w:rPr>
          <w:rFonts w:asciiTheme="minorHAnsi" w:hAnsiTheme="minorHAnsi"/>
          <w:sz w:val="24"/>
        </w:rPr>
      </w:pPr>
      <w:bookmarkStart w:id="9" w:name="_Toc419729578"/>
      <w:r>
        <w:rPr>
          <w:rFonts w:asciiTheme="minorHAnsi" w:hAnsiTheme="minorHAnsi"/>
          <w:sz w:val="24"/>
        </w:rPr>
        <w:t>Delivery Time</w:t>
      </w:r>
      <w:bookmarkEnd w:id="9"/>
    </w:p>
    <w:p>
      <w:pPr>
        <w:rPr>
          <w:rFonts w:asciiTheme="minorHAnsi" w:hAnsiTheme="minorHAnsi"/>
          <w:lang w:val="en-GB"/>
        </w:rPr>
      </w:pPr>
      <w:r>
        <w:rPr>
          <w:rFonts w:asciiTheme="minorHAnsi" w:hAnsiTheme="minorHAnsi"/>
          <w:lang w:val="en-GB"/>
        </w:rPr>
        <w:t>Supplier is expected to supply and deliver materials at the instruction of the Procuring Entity.</w:t>
      </w:r>
    </w:p>
    <w:bookmarkEnd w:id="4"/>
    <w:bookmarkEnd w:id="6"/>
    <w:p>
      <w:pPr>
        <w:pStyle w:val="3"/>
        <w:rPr>
          <w:rFonts w:asciiTheme="minorHAnsi" w:hAnsiTheme="minorHAnsi"/>
          <w:sz w:val="24"/>
          <w:szCs w:val="24"/>
        </w:rPr>
      </w:pPr>
      <w:r>
        <w:rPr>
          <w:rFonts w:asciiTheme="minorHAnsi" w:hAnsiTheme="minorHAnsi"/>
          <w:sz w:val="24"/>
          <w:szCs w:val="24"/>
        </w:rPr>
        <w:t>Description of the Goods</w:t>
      </w:r>
      <w:bookmarkEnd w:id="1"/>
    </w:p>
    <w:p>
      <w:pPr>
        <w:rPr>
          <w:rFonts w:asciiTheme="minorHAnsi" w:hAnsiTheme="minorHAnsi"/>
          <w:i/>
          <w:iCs/>
        </w:rPr>
      </w:pPr>
      <w:r>
        <w:rPr>
          <w:rFonts w:asciiTheme="minorHAnsi" w:hAnsiTheme="minorHAnsi"/>
          <w:i/>
          <w:iCs/>
        </w:rPr>
        <w:t xml:space="preserve">Please refer to the excel attached to this RFQ package. </w:t>
      </w:r>
    </w:p>
    <w:p/>
    <w:p/>
    <w:sectPr>
      <w:headerReference r:id="rId6" w:type="default"/>
      <w:footerReference r:id="rId7" w:type="default"/>
      <w:type w:val="oddPage"/>
      <w:pgSz w:w="11907" w:h="16839"/>
      <w:pgMar w:top="1701" w:right="1152" w:bottom="1080" w:left="1152" w:header="284" w:footer="720" w:gutter="0"/>
      <w:cols w:space="720" w:num="1"/>
      <w:docGrid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neemia" w:date="2021-04-13T11:14:58Z" w:initials="t">
    <w:p w14:paraId="486864E4">
      <w:pPr>
        <w:pStyle w:val="19"/>
        <w:rPr>
          <w:rFonts w:hint="default"/>
          <w:lang w:val="en-US"/>
        </w:rPr>
      </w:pPr>
      <w:r>
        <w:rPr>
          <w:rFonts w:hint="default"/>
          <w:lang w:val="en-US"/>
        </w:rPr>
        <w:t>The requirements are already listed in the second template.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6864E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Georgia">
    <w:panose1 w:val="02040502050405020303"/>
    <w:charset w:val="00"/>
    <w:family w:val="roman"/>
    <w:pitch w:val="default"/>
    <w:sig w:usb0="00000287" w:usb1="00000000" w:usb2="00000000" w:usb3="00000000" w:csb0="200000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3</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3</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rFonts w:asciiTheme="minorHAnsi" w:hAnsiTheme="minorHAnsi" w:cstheme="minorHAnsi"/>
        <w:lang w:val="en-GB"/>
      </w:rPr>
      <w:t>RFQ-MXXX-2020-</w:t>
    </w:r>
    <w:r>
      <w:rPr>
        <w:rStyle w:val="32"/>
        <w:rFonts w:asciiTheme="minorHAnsi" w:hAnsiTheme="minorHAnsi" w:cstheme="minorHAnsi"/>
        <w:highlight w:val="yellow"/>
        <w:lang w:val="en-GB"/>
      </w:rPr>
      <w:t>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66BF8"/>
    <w:multiLevelType w:val="multilevel"/>
    <w:tmpl w:val="05A66BF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neemia">
    <w15:presenceInfo w15:providerId="None" w15:userId="tneem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09C9"/>
    <w:rsid w:val="00111681"/>
    <w:rsid w:val="00114C10"/>
    <w:rsid w:val="00116BCC"/>
    <w:rsid w:val="00117211"/>
    <w:rsid w:val="00117419"/>
    <w:rsid w:val="001217C3"/>
    <w:rsid w:val="00121981"/>
    <w:rsid w:val="001222D6"/>
    <w:rsid w:val="00123DF9"/>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20A"/>
    <w:rsid w:val="001B6479"/>
    <w:rsid w:val="001B6E4F"/>
    <w:rsid w:val="001C350C"/>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8D5"/>
    <w:rsid w:val="00243C0E"/>
    <w:rsid w:val="002451E0"/>
    <w:rsid w:val="00245D37"/>
    <w:rsid w:val="0024616C"/>
    <w:rsid w:val="00246E89"/>
    <w:rsid w:val="00247794"/>
    <w:rsid w:val="00247F37"/>
    <w:rsid w:val="00250827"/>
    <w:rsid w:val="00251C8A"/>
    <w:rsid w:val="00252B07"/>
    <w:rsid w:val="00252F49"/>
    <w:rsid w:val="00255751"/>
    <w:rsid w:val="00255B8B"/>
    <w:rsid w:val="00255D70"/>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3613"/>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1C5C"/>
    <w:rsid w:val="002F2853"/>
    <w:rsid w:val="002F292D"/>
    <w:rsid w:val="002F460B"/>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339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0A5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EA8"/>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4934"/>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3B41"/>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6B56"/>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3E8D"/>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08E7"/>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839"/>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0D2"/>
    <w:rsid w:val="006E25E3"/>
    <w:rsid w:val="006E37DF"/>
    <w:rsid w:val="006E439D"/>
    <w:rsid w:val="006E4D0E"/>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5E9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16"/>
    <w:rsid w:val="00730BCB"/>
    <w:rsid w:val="00733363"/>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46FD"/>
    <w:rsid w:val="0075500B"/>
    <w:rsid w:val="00755D1D"/>
    <w:rsid w:val="00756D09"/>
    <w:rsid w:val="00756D34"/>
    <w:rsid w:val="00757D9C"/>
    <w:rsid w:val="0076070F"/>
    <w:rsid w:val="00763283"/>
    <w:rsid w:val="00764719"/>
    <w:rsid w:val="00764C19"/>
    <w:rsid w:val="00765D08"/>
    <w:rsid w:val="007670DB"/>
    <w:rsid w:val="007705A8"/>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4A0"/>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4527"/>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056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3D"/>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4D7E"/>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096"/>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9A1"/>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EB1"/>
    <w:rsid w:val="00B47AC9"/>
    <w:rsid w:val="00B500C0"/>
    <w:rsid w:val="00B51323"/>
    <w:rsid w:val="00B51D5A"/>
    <w:rsid w:val="00B5243B"/>
    <w:rsid w:val="00B52A7F"/>
    <w:rsid w:val="00B52BE9"/>
    <w:rsid w:val="00B532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AA0"/>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6EDA"/>
    <w:rsid w:val="00C47D72"/>
    <w:rsid w:val="00C50F39"/>
    <w:rsid w:val="00C51290"/>
    <w:rsid w:val="00C56AA5"/>
    <w:rsid w:val="00C575E1"/>
    <w:rsid w:val="00C617B7"/>
    <w:rsid w:val="00C6587F"/>
    <w:rsid w:val="00C660B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1EF"/>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4B4"/>
    <w:rsid w:val="00CF78F2"/>
    <w:rsid w:val="00CF7A9E"/>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8EB"/>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05C"/>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82"/>
    <w:rsid w:val="00DC4CA3"/>
    <w:rsid w:val="00DC4DF7"/>
    <w:rsid w:val="00DC6B1B"/>
    <w:rsid w:val="00DC6DEE"/>
    <w:rsid w:val="00DD1099"/>
    <w:rsid w:val="00DD271F"/>
    <w:rsid w:val="00DD46D5"/>
    <w:rsid w:val="00DD5C39"/>
    <w:rsid w:val="00DD5C4C"/>
    <w:rsid w:val="00DD62BA"/>
    <w:rsid w:val="00DE395D"/>
    <w:rsid w:val="00DE4B7D"/>
    <w:rsid w:val="00DE50D4"/>
    <w:rsid w:val="00DE5141"/>
    <w:rsid w:val="00DE5C96"/>
    <w:rsid w:val="00DE7A8A"/>
    <w:rsid w:val="00DE7F66"/>
    <w:rsid w:val="00DF0093"/>
    <w:rsid w:val="00DF2C45"/>
    <w:rsid w:val="00DF2C63"/>
    <w:rsid w:val="00DF3777"/>
    <w:rsid w:val="00DF384D"/>
    <w:rsid w:val="00DF43B9"/>
    <w:rsid w:val="00DF4F0E"/>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5074"/>
    <w:rsid w:val="00E47A57"/>
    <w:rsid w:val="00E50B28"/>
    <w:rsid w:val="00E50C65"/>
    <w:rsid w:val="00E513DD"/>
    <w:rsid w:val="00E55A11"/>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AB"/>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C2B"/>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223A"/>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24324734"/>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3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link w:val="87"/>
    <w:qFormat/>
    <w:uiPriority w:val="99"/>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 w:type="table" w:customStyle="1" w:styleId="86">
    <w:name w:val="Grid Table 1 Light"/>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7">
    <w:name w:val="List Paragraph Char"/>
    <w:link w:val="81"/>
    <w:qFormat/>
    <w:uiPriority w:val="34"/>
    <w:rPr>
      <w:rFonts w:ascii="Calibri" w:hAnsi="Calibri" w:eastAsia="Times New Roman"/>
      <w:kern w:val="2"/>
      <w:szCs w:val="22"/>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1D61C-92FE-4B3F-B82E-E0083011BCE4}">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3</Pages>
  <Words>417</Words>
  <Characters>2382</Characters>
  <Lines>19</Lines>
  <Paragraphs>5</Paragraphs>
  <TotalTime>2479</TotalTime>
  <ScaleCrop>false</ScaleCrop>
  <LinksUpToDate>false</LinksUpToDate>
  <CharactersWithSpaces>2794</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2019-06-11T03:28:00Z</dcterms:created>
  <dc:creator>jason.lee@gggi.org;Jisu Min</dc:creator>
  <cp:lastModifiedBy>tneemia</cp:lastModifiedBy>
  <cp:lastPrinted>2013-10-18T08:32:00Z</cp:lastPrinted>
  <dcterms:modified xsi:type="dcterms:W3CDTF">2021-04-12T23:15:25Z</dcterms:modified>
  <dc:title>STANDARD REQUEST FOR PROPOSALS</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